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F51C2D" w14:textId="5E38EC32" w:rsidR="00184445" w:rsidRPr="00564E49" w:rsidRDefault="009E5218">
      <w:pPr>
        <w:spacing w:after="156"/>
        <w:ind w:left="48" w:hanging="10"/>
        <w:jc w:val="center"/>
        <w:rPr>
          <w:rFonts w:ascii="Verdana" w:hAnsi="Verdana"/>
          <w:b/>
          <w:bCs/>
          <w:sz w:val="24"/>
          <w:szCs w:val="24"/>
        </w:rPr>
      </w:pPr>
      <w:bookmarkStart w:id="0" w:name="_GoBack"/>
      <w:bookmarkEnd w:id="0"/>
      <w:r w:rsidRPr="00564E49">
        <w:rPr>
          <w:rFonts w:ascii="Verdana" w:hAnsi="Verdana"/>
          <w:b/>
          <w:bCs/>
          <w:sz w:val="24"/>
          <w:szCs w:val="24"/>
        </w:rPr>
        <w:t>RESOLUCION TAT-1581-2007</w:t>
      </w:r>
    </w:p>
    <w:p w14:paraId="7146C5E8" w14:textId="77777777" w:rsidR="00184445" w:rsidRPr="00564E49" w:rsidRDefault="009E5218">
      <w:pPr>
        <w:spacing w:after="256" w:line="216" w:lineRule="auto"/>
        <w:ind w:left="14" w:right="23" w:firstLine="14"/>
        <w:jc w:val="both"/>
        <w:rPr>
          <w:rFonts w:ascii="Verdana" w:hAnsi="Verdana"/>
          <w:sz w:val="24"/>
          <w:szCs w:val="24"/>
        </w:rPr>
      </w:pPr>
      <w:r w:rsidRPr="00564E49">
        <w:rPr>
          <w:rFonts w:ascii="Verdana" w:hAnsi="Verdana"/>
          <w:b/>
          <w:bCs/>
          <w:sz w:val="24"/>
          <w:szCs w:val="24"/>
        </w:rPr>
        <w:t>TRIBUNAL ADMINISTRATIVO DE TRANSPORTE</w:t>
      </w:r>
      <w:r w:rsidRPr="00564E49">
        <w:rPr>
          <w:rFonts w:ascii="Verdana" w:hAnsi="Verdana"/>
          <w:sz w:val="24"/>
          <w:szCs w:val="24"/>
        </w:rPr>
        <w:t xml:space="preserve">. san José, a las once horas cuarenta y cinco minutos del veintisiete de febrero del dos mil </w:t>
      </w:r>
      <w:proofErr w:type="gramStart"/>
      <w:r w:rsidRPr="00564E49">
        <w:rPr>
          <w:rFonts w:ascii="Verdana" w:hAnsi="Verdana"/>
          <w:sz w:val="24"/>
          <w:szCs w:val="24"/>
        </w:rPr>
        <w:t>siete.-</w:t>
      </w:r>
      <w:proofErr w:type="gramEnd"/>
    </w:p>
    <w:p w14:paraId="43235423" w14:textId="19072F2E" w:rsidR="00184445" w:rsidRPr="00564E49" w:rsidRDefault="009E5218">
      <w:pPr>
        <w:spacing w:after="195" w:line="216" w:lineRule="auto"/>
        <w:ind w:left="14" w:right="23" w:firstLine="14"/>
        <w:jc w:val="both"/>
        <w:rPr>
          <w:rFonts w:ascii="Verdana" w:hAnsi="Verdana"/>
          <w:sz w:val="24"/>
          <w:szCs w:val="24"/>
        </w:rPr>
      </w:pPr>
      <w:r w:rsidRPr="00564E49">
        <w:rPr>
          <w:rFonts w:ascii="Verdana" w:hAnsi="Verdana"/>
          <w:sz w:val="24"/>
          <w:szCs w:val="24"/>
        </w:rPr>
        <w:t xml:space="preserve">Se conoce </w:t>
      </w:r>
      <w:r w:rsidRPr="00564E49">
        <w:rPr>
          <w:rFonts w:ascii="Verdana" w:hAnsi="Verdana"/>
          <w:b/>
          <w:bCs/>
          <w:sz w:val="24"/>
          <w:szCs w:val="24"/>
        </w:rPr>
        <w:t>DENUNCIA</w:t>
      </w:r>
      <w:r w:rsidRPr="00564E49">
        <w:rPr>
          <w:rFonts w:ascii="Verdana" w:hAnsi="Verdana"/>
          <w:sz w:val="24"/>
          <w:szCs w:val="24"/>
        </w:rPr>
        <w:t xml:space="preserve">, presentada por el señor </w:t>
      </w:r>
      <w:r w:rsidR="00564E49" w:rsidRPr="00564E49">
        <w:rPr>
          <w:rFonts w:ascii="Verdana" w:hAnsi="Verdana"/>
          <w:sz w:val="24"/>
          <w:szCs w:val="24"/>
        </w:rPr>
        <w:t>R.M.B.</w:t>
      </w:r>
      <w:r w:rsidRPr="00564E49">
        <w:rPr>
          <w:rFonts w:ascii="Verdana" w:hAnsi="Verdana"/>
          <w:sz w:val="24"/>
          <w:szCs w:val="24"/>
        </w:rPr>
        <w:t xml:space="preserve">, cédula de identidad número </w:t>
      </w:r>
      <w:r w:rsidR="00564E49" w:rsidRPr="00564E49">
        <w:rPr>
          <w:rFonts w:ascii="Verdana" w:hAnsi="Verdana"/>
          <w:sz w:val="24"/>
          <w:szCs w:val="24"/>
        </w:rPr>
        <w:t>XXX</w:t>
      </w:r>
      <w:r w:rsidRPr="00564E49">
        <w:rPr>
          <w:rFonts w:ascii="Verdana" w:hAnsi="Verdana"/>
          <w:sz w:val="24"/>
          <w:szCs w:val="24"/>
        </w:rPr>
        <w:t xml:space="preserve">, en su condición de permisionario de la ruta </w:t>
      </w:r>
      <w:r w:rsidR="00564E49">
        <w:rPr>
          <w:rFonts w:ascii="Verdana" w:hAnsi="Verdana"/>
          <w:sz w:val="24"/>
          <w:szCs w:val="24"/>
        </w:rPr>
        <w:t>xxx</w:t>
      </w:r>
      <w:r w:rsidRPr="00564E49">
        <w:rPr>
          <w:rFonts w:ascii="Verdana" w:hAnsi="Verdana"/>
          <w:sz w:val="24"/>
          <w:szCs w:val="24"/>
        </w:rPr>
        <w:t>, contra La Junta Directiva del Consejo de Transporte Público, desobediencia a la Resolución Número 2003-00860 de la Sala Constitucional. El caso es tramitado en este Despacho bajo Expediente Administrativo No. TAT-059-03.</w:t>
      </w:r>
    </w:p>
    <w:p w14:paraId="3D5F8A1F" w14:textId="77777777" w:rsidR="00184445" w:rsidRPr="00564E49" w:rsidRDefault="009E5218">
      <w:pPr>
        <w:spacing w:after="369"/>
        <w:ind w:left="38"/>
        <w:rPr>
          <w:rFonts w:ascii="Verdana" w:hAnsi="Verdana"/>
          <w:sz w:val="24"/>
          <w:szCs w:val="24"/>
        </w:rPr>
      </w:pPr>
      <w:r w:rsidRPr="00564E49">
        <w:rPr>
          <w:rFonts w:ascii="Verdana" w:hAnsi="Verdana"/>
          <w:sz w:val="24"/>
          <w:szCs w:val="24"/>
        </w:rPr>
        <w:t>Redacta la Juez Pérez Peláez; y,</w:t>
      </w:r>
    </w:p>
    <w:p w14:paraId="1542A513" w14:textId="77777777" w:rsidR="00184445" w:rsidRPr="00564E49" w:rsidRDefault="009E5218">
      <w:pPr>
        <w:spacing w:after="156"/>
        <w:ind w:left="48" w:right="19" w:hanging="10"/>
        <w:jc w:val="center"/>
        <w:rPr>
          <w:rFonts w:ascii="Verdana" w:hAnsi="Verdana"/>
          <w:b/>
          <w:bCs/>
          <w:sz w:val="24"/>
          <w:szCs w:val="24"/>
        </w:rPr>
      </w:pPr>
      <w:r w:rsidRPr="00564E49">
        <w:rPr>
          <w:rFonts w:ascii="Verdana" w:hAnsi="Verdana"/>
          <w:b/>
          <w:bCs/>
          <w:sz w:val="24"/>
          <w:szCs w:val="24"/>
        </w:rPr>
        <w:t>CONSIDERANDO ÚNICO</w:t>
      </w:r>
      <w:r w:rsidRPr="00564E49">
        <w:rPr>
          <w:rFonts w:ascii="Verdana" w:hAnsi="Verdana"/>
          <w:b/>
          <w:bCs/>
          <w:noProof/>
          <w:sz w:val="24"/>
          <w:szCs w:val="24"/>
        </w:rPr>
        <w:drawing>
          <wp:inline distT="0" distB="0" distL="0" distR="0" wp14:anchorId="21697F7A" wp14:editId="674C39C5">
            <wp:extent cx="3049" cy="6098"/>
            <wp:effectExtent l="0" t="0" r="0" b="0"/>
            <wp:docPr id="2142" name="Picture 2142"/>
            <wp:cNvGraphicFramePr/>
            <a:graphic xmlns:a="http://schemas.openxmlformats.org/drawingml/2006/main">
              <a:graphicData uri="http://schemas.openxmlformats.org/drawingml/2006/picture">
                <pic:pic xmlns:pic="http://schemas.openxmlformats.org/drawingml/2006/picture">
                  <pic:nvPicPr>
                    <pic:cNvPr id="2142" name="Picture 2142"/>
                    <pic:cNvPicPr/>
                  </pic:nvPicPr>
                  <pic:blipFill>
                    <a:blip r:embed="rId6"/>
                    <a:stretch>
                      <a:fillRect/>
                    </a:stretch>
                  </pic:blipFill>
                  <pic:spPr>
                    <a:xfrm>
                      <a:off x="0" y="0"/>
                      <a:ext cx="3049" cy="6098"/>
                    </a:xfrm>
                    <a:prstGeom prst="rect">
                      <a:avLst/>
                    </a:prstGeom>
                  </pic:spPr>
                </pic:pic>
              </a:graphicData>
            </a:graphic>
          </wp:inline>
        </w:drawing>
      </w:r>
    </w:p>
    <w:p w14:paraId="38C38D43" w14:textId="0D96299A" w:rsidR="00184445" w:rsidRPr="00564E49" w:rsidRDefault="009E5218">
      <w:pPr>
        <w:spacing w:after="256" w:line="216" w:lineRule="auto"/>
        <w:ind w:left="14" w:right="23" w:firstLine="14"/>
        <w:jc w:val="both"/>
        <w:rPr>
          <w:rFonts w:ascii="Verdana" w:hAnsi="Verdana"/>
          <w:sz w:val="24"/>
          <w:szCs w:val="24"/>
        </w:rPr>
      </w:pPr>
      <w:r w:rsidRPr="00564E49">
        <w:rPr>
          <w:rFonts w:ascii="Verdana" w:hAnsi="Verdana"/>
          <w:noProof/>
          <w:sz w:val="24"/>
          <w:szCs w:val="24"/>
        </w:rPr>
        <w:drawing>
          <wp:anchor distT="0" distB="0" distL="114300" distR="114300" simplePos="0" relativeHeight="251658240" behindDoc="0" locked="0" layoutInCell="1" allowOverlap="0" wp14:anchorId="72511B39" wp14:editId="2C8E3FB0">
            <wp:simplePos x="0" y="0"/>
            <wp:positionH relativeFrom="page">
              <wp:posOffset>6927796</wp:posOffset>
            </wp:positionH>
            <wp:positionV relativeFrom="page">
              <wp:posOffset>7521695</wp:posOffset>
            </wp:positionV>
            <wp:extent cx="6099" cy="6098"/>
            <wp:effectExtent l="0" t="0" r="0" b="0"/>
            <wp:wrapSquare wrapText="bothSides"/>
            <wp:docPr id="2143" name="Picture 2143"/>
            <wp:cNvGraphicFramePr/>
            <a:graphic xmlns:a="http://schemas.openxmlformats.org/drawingml/2006/main">
              <a:graphicData uri="http://schemas.openxmlformats.org/drawingml/2006/picture">
                <pic:pic xmlns:pic="http://schemas.openxmlformats.org/drawingml/2006/picture">
                  <pic:nvPicPr>
                    <pic:cNvPr id="2143" name="Picture 2143"/>
                    <pic:cNvPicPr/>
                  </pic:nvPicPr>
                  <pic:blipFill>
                    <a:blip r:embed="rId7"/>
                    <a:stretch>
                      <a:fillRect/>
                    </a:stretch>
                  </pic:blipFill>
                  <pic:spPr>
                    <a:xfrm>
                      <a:off x="0" y="0"/>
                      <a:ext cx="6099" cy="6098"/>
                    </a:xfrm>
                    <a:prstGeom prst="rect">
                      <a:avLst/>
                    </a:prstGeom>
                  </pic:spPr>
                </pic:pic>
              </a:graphicData>
            </a:graphic>
          </wp:anchor>
        </w:drawing>
      </w:r>
      <w:r w:rsidRPr="00564E49">
        <w:rPr>
          <w:rFonts w:ascii="Verdana" w:hAnsi="Verdana"/>
          <w:sz w:val="24"/>
          <w:szCs w:val="24"/>
        </w:rPr>
        <w:t xml:space="preserve">El señor, </w:t>
      </w:r>
      <w:r w:rsidR="00564E49" w:rsidRPr="00564E49">
        <w:rPr>
          <w:rFonts w:ascii="Verdana" w:hAnsi="Verdana"/>
          <w:sz w:val="24"/>
          <w:szCs w:val="24"/>
        </w:rPr>
        <w:t>R.M.B.</w:t>
      </w:r>
      <w:r w:rsidRPr="00564E49">
        <w:rPr>
          <w:rFonts w:ascii="Verdana" w:hAnsi="Verdana"/>
          <w:sz w:val="24"/>
          <w:szCs w:val="24"/>
        </w:rPr>
        <w:t xml:space="preserve">, presenta DENUNCIA en contra de la Junta Directiva del Consejo de Transporte Público, por cuanto ésta, alega, ha incurrido en desobediencia a la Resolución de la Sala Constitucional No. 2003-00860, de las ocho horas con treinta y tres minutos, del siete de febrero del dos mil tres, sentencia que resuelve Recurso Amparo incoado por el aquí denunciante, en contra del citado Consejo, por no resolver dentro del plazo conferido por la Ley de Administración Pública, la denuncia que presentó en contra de la empresa </w:t>
      </w:r>
      <w:r w:rsidR="00564E49">
        <w:rPr>
          <w:rFonts w:ascii="Verdana" w:hAnsi="Verdana"/>
          <w:sz w:val="24"/>
          <w:szCs w:val="24"/>
        </w:rPr>
        <w:t>XXX</w:t>
      </w:r>
    </w:p>
    <w:p w14:paraId="410F287E" w14:textId="77777777" w:rsidR="00184445" w:rsidRPr="00564E49" w:rsidRDefault="009E5218">
      <w:pPr>
        <w:spacing w:after="256" w:line="216" w:lineRule="auto"/>
        <w:ind w:left="14" w:right="86" w:firstLine="14"/>
        <w:jc w:val="both"/>
        <w:rPr>
          <w:rFonts w:ascii="Verdana" w:hAnsi="Verdana"/>
          <w:sz w:val="24"/>
          <w:szCs w:val="24"/>
        </w:rPr>
      </w:pPr>
      <w:r w:rsidRPr="00564E49">
        <w:rPr>
          <w:rFonts w:ascii="Verdana" w:hAnsi="Verdana"/>
          <w:sz w:val="24"/>
          <w:szCs w:val="24"/>
        </w:rPr>
        <w:t>El Tribunal Administrativo de Transporte tiene sus competencias expresamente definidas, cuales son, el conocimiento de los Recursos de Apelación presentados en contra de los actos emitidos por el Consejo de Transporte Público.</w:t>
      </w:r>
    </w:p>
    <w:p w14:paraId="7D914BDA" w14:textId="77777777" w:rsidR="00184445" w:rsidRPr="00564E49" w:rsidRDefault="009E5218">
      <w:pPr>
        <w:spacing w:after="256" w:line="216" w:lineRule="auto"/>
        <w:ind w:left="14" w:right="23" w:firstLine="14"/>
        <w:jc w:val="both"/>
        <w:rPr>
          <w:rFonts w:ascii="Verdana" w:hAnsi="Verdana"/>
          <w:sz w:val="24"/>
          <w:szCs w:val="24"/>
        </w:rPr>
      </w:pPr>
      <w:r w:rsidRPr="00564E49">
        <w:rPr>
          <w:rFonts w:ascii="Verdana" w:hAnsi="Verdana"/>
          <w:sz w:val="24"/>
          <w:szCs w:val="24"/>
        </w:rPr>
        <w:t>El ámbito de actuación de los órganos de la Administración se encuentra sujeto al Principio de Legalidad, entendido éste como el marco normativo dentro del cual debe desenvolverse, es decir, toda decisión a adoptar debe tener correspondencia con el Derecho Positivo.</w:t>
      </w:r>
    </w:p>
    <w:p w14:paraId="4A17E17B" w14:textId="77777777" w:rsidR="00184445" w:rsidRPr="00564E49" w:rsidRDefault="009E5218">
      <w:pPr>
        <w:spacing w:after="189" w:line="216" w:lineRule="auto"/>
        <w:ind w:left="14" w:right="23" w:firstLine="14"/>
        <w:jc w:val="both"/>
        <w:rPr>
          <w:rFonts w:ascii="Verdana" w:hAnsi="Verdana"/>
          <w:sz w:val="24"/>
          <w:szCs w:val="24"/>
        </w:rPr>
      </w:pPr>
      <w:r w:rsidRPr="00564E49">
        <w:rPr>
          <w:rFonts w:ascii="Verdana" w:hAnsi="Verdana"/>
          <w:sz w:val="24"/>
          <w:szCs w:val="24"/>
        </w:rPr>
        <w:t>Al respecto, la Sala Primera de la Corte Suprema de Justicia, mediante Sentencia No. 40, del 22 de marzo de 1995, de las quince horas, señaló lo siguiente:</w:t>
      </w:r>
    </w:p>
    <w:p w14:paraId="116310B8" w14:textId="77777777" w:rsidR="00564E49" w:rsidRDefault="009E5218" w:rsidP="00564E49">
      <w:pPr>
        <w:spacing w:after="0" w:line="216" w:lineRule="auto"/>
        <w:ind w:left="552" w:right="595" w:hanging="5"/>
        <w:jc w:val="both"/>
        <w:rPr>
          <w:rFonts w:ascii="Verdana" w:hAnsi="Verdana"/>
          <w:sz w:val="24"/>
          <w:szCs w:val="24"/>
        </w:rPr>
      </w:pPr>
      <w:r w:rsidRPr="00564E49">
        <w:rPr>
          <w:rFonts w:ascii="Verdana" w:hAnsi="Verdana"/>
          <w:sz w:val="24"/>
          <w:szCs w:val="24"/>
        </w:rPr>
        <w:t xml:space="preserve">"La sujeción de la actuación administrativa al Ordenamiento Jurídico </w:t>
      </w:r>
      <w:r w:rsidRPr="00564E49">
        <w:rPr>
          <w:rFonts w:ascii="Verdana" w:hAnsi="Verdana"/>
          <w:sz w:val="24"/>
          <w:szCs w:val="24"/>
          <w:u w:val="single" w:color="000000"/>
        </w:rPr>
        <w:t xml:space="preserve">significa que la norma se </w:t>
      </w:r>
      <w:proofErr w:type="spellStart"/>
      <w:r w:rsidRPr="00564E49">
        <w:rPr>
          <w:rFonts w:ascii="Verdana" w:hAnsi="Verdana"/>
          <w:sz w:val="24"/>
          <w:szCs w:val="24"/>
          <w:u w:val="single" w:color="000000"/>
        </w:rPr>
        <w:t>eriqe</w:t>
      </w:r>
      <w:proofErr w:type="spellEnd"/>
      <w:r w:rsidRPr="00564E49">
        <w:rPr>
          <w:rFonts w:ascii="Verdana" w:hAnsi="Verdana"/>
          <w:sz w:val="24"/>
          <w:szCs w:val="24"/>
          <w:u w:val="single" w:color="000000"/>
        </w:rPr>
        <w:t xml:space="preserve"> en el fundamento previo y necesario de su activ</w:t>
      </w:r>
      <w:r w:rsidR="00564E49">
        <w:rPr>
          <w:rFonts w:ascii="Verdana" w:hAnsi="Verdana"/>
          <w:sz w:val="24"/>
          <w:szCs w:val="24"/>
          <w:u w:val="single" w:color="000000"/>
        </w:rPr>
        <w:t>i</w:t>
      </w:r>
      <w:r w:rsidRPr="00564E49">
        <w:rPr>
          <w:rFonts w:ascii="Verdana" w:hAnsi="Verdana"/>
          <w:sz w:val="24"/>
          <w:szCs w:val="24"/>
          <w:u w:val="single" w:color="000000"/>
        </w:rPr>
        <w:t>da</w:t>
      </w:r>
      <w:r w:rsidR="00564E49">
        <w:rPr>
          <w:rFonts w:ascii="Verdana" w:hAnsi="Verdana"/>
          <w:sz w:val="24"/>
          <w:szCs w:val="24"/>
          <w:u w:val="single" w:color="000000"/>
        </w:rPr>
        <w:t>d</w:t>
      </w:r>
      <w:r w:rsidRPr="00564E49">
        <w:rPr>
          <w:rFonts w:ascii="Verdana" w:hAnsi="Verdana"/>
          <w:sz w:val="24"/>
          <w:szCs w:val="24"/>
          <w:u w:val="single" w:color="000000"/>
        </w:rPr>
        <w:t>.</w:t>
      </w:r>
      <w:r w:rsidRPr="00564E49">
        <w:rPr>
          <w:rFonts w:ascii="Verdana" w:hAnsi="Verdana"/>
          <w:sz w:val="24"/>
          <w:szCs w:val="24"/>
        </w:rPr>
        <w:t xml:space="preserve"> Esto implica que </w:t>
      </w:r>
      <w:r w:rsidRPr="00564E49">
        <w:rPr>
          <w:rFonts w:ascii="Verdana" w:hAnsi="Verdana"/>
          <w:sz w:val="24"/>
          <w:szCs w:val="24"/>
          <w:u w:val="single" w:color="000000"/>
        </w:rPr>
        <w:t xml:space="preserve">en todo momento requiere de una habilitación normativa que a un propio tiempo </w:t>
      </w:r>
      <w:r w:rsidR="00564E49" w:rsidRPr="00564E49">
        <w:rPr>
          <w:rFonts w:ascii="Verdana" w:hAnsi="Verdana"/>
          <w:sz w:val="24"/>
          <w:szCs w:val="24"/>
          <w:u w:val="single" w:color="000000"/>
        </w:rPr>
        <w:t>justifique</w:t>
      </w:r>
      <w:r w:rsidRPr="00564E49">
        <w:rPr>
          <w:rFonts w:ascii="Verdana" w:hAnsi="Verdana"/>
          <w:sz w:val="24"/>
          <w:szCs w:val="24"/>
          <w:u w:val="single" w:color="000000"/>
        </w:rPr>
        <w:t xml:space="preserve"> y autorice la conducta desplegada para que ésta pueda considerarse lícita, y más que</w:t>
      </w:r>
      <w:r w:rsidR="00564E49">
        <w:rPr>
          <w:rFonts w:ascii="Verdana" w:hAnsi="Verdana"/>
          <w:sz w:val="24"/>
          <w:szCs w:val="24"/>
          <w:u w:val="single" w:color="000000"/>
        </w:rPr>
        <w:t xml:space="preserve"> </w:t>
      </w:r>
      <w:r w:rsidRPr="00564E49">
        <w:rPr>
          <w:rFonts w:ascii="Verdana" w:hAnsi="Verdana"/>
          <w:sz w:val="24"/>
          <w:szCs w:val="24"/>
          <w:u w:val="single" w:color="000000"/>
        </w:rPr>
        <w:t>lícita, no prohibida</w:t>
      </w:r>
      <w:r w:rsidRPr="00564E49">
        <w:rPr>
          <w:rFonts w:ascii="Verdana" w:hAnsi="Verdana"/>
          <w:sz w:val="24"/>
          <w:szCs w:val="24"/>
        </w:rPr>
        <w:t xml:space="preserve">. De consiguiente, cualquier actuación de la Administración discordante con el bloque de legalidad, constituye una infracción del Ordenamiento Jurídico, El principio de legalidad tiene un reconocimiento expreso en nuestro Ordenamiento Jurídico. En este sentido, el artículo 11 de </w:t>
      </w:r>
      <w:r w:rsidRPr="00564E49">
        <w:rPr>
          <w:rFonts w:ascii="Verdana" w:hAnsi="Verdana"/>
          <w:sz w:val="24"/>
          <w:szCs w:val="24"/>
        </w:rPr>
        <w:lastRenderedPageBreak/>
        <w:t>la Constitución Política dispone, en lo conducente, que: "Los funcionarios públicos son simples depositarios de la autoridad y no pueden arrogarse facultades que la ley no les concede..."</w:t>
      </w:r>
      <w:r w:rsidR="00564E49">
        <w:rPr>
          <w:rFonts w:ascii="Verdana" w:hAnsi="Verdana"/>
          <w:sz w:val="24"/>
          <w:szCs w:val="24"/>
        </w:rPr>
        <w:t xml:space="preserve">. </w:t>
      </w:r>
      <w:r w:rsidRPr="00564E49">
        <w:rPr>
          <w:rFonts w:ascii="Verdana" w:hAnsi="Verdana"/>
          <w:sz w:val="24"/>
          <w:szCs w:val="24"/>
        </w:rPr>
        <w:t xml:space="preserve"> En concordancia con esa norma, el artículo 11 de la Ley General de la Administración Pública estatuye: III. La Administración Pública actuará sometida al ordenamiento jurídico y sólo podrá realizar aquellos actos o prestar aquellos servicios públicos que autorice dicho ordenamiento, según la escala jerárquica de sus fuentes. 2. Se considerará autorizado el acto regulado expresamente por norma escrita, al menos en cuanto a motivo o contenido, aunque sea en forma imprecisa" Por su parte, el artículo 13 de ese mismo cuerpo normativo es categórico al afirmar que: "1. La Administración estará sujeta, en general, a todas las normas escritas y no escritas del ordenamiento administrativo, y al derecho privado supletorio del mismo, sin poder derogarlos ni desaplicarlos para casos concretos" 2. La regla anterior se aplicará también en relación con los reglamentos normas todas de un contenido muy claro en orden a establecer el deber jurídico de la Administración de actuar sometida al Ordenamiento y sólo bajo su expresa autorización." (Lo resaltado no es del original)</w:t>
      </w:r>
    </w:p>
    <w:p w14:paraId="695D3776" w14:textId="2085125A" w:rsidR="00184445" w:rsidRDefault="009E5218" w:rsidP="00564E49">
      <w:pPr>
        <w:spacing w:after="0" w:line="216" w:lineRule="auto"/>
        <w:ind w:left="552" w:right="595" w:hanging="5"/>
        <w:jc w:val="both"/>
        <w:rPr>
          <w:rFonts w:ascii="Verdana" w:hAnsi="Verdana"/>
          <w:sz w:val="24"/>
          <w:szCs w:val="24"/>
        </w:rPr>
      </w:pPr>
      <w:r w:rsidRPr="00564E49">
        <w:rPr>
          <w:rFonts w:ascii="Verdana" w:hAnsi="Verdana"/>
          <w:sz w:val="24"/>
          <w:szCs w:val="24"/>
        </w:rPr>
        <w:t>Es posible señalar, según lo dicho por ese órgano jurisdiccional, que lo que no está expresamente permitido en el ordenamiento jurídico, entendido éste en el sentido amplio y en el ámbito del Derecho Público, significa que está prohibido.</w:t>
      </w:r>
    </w:p>
    <w:p w14:paraId="2C1DC051" w14:textId="77777777" w:rsidR="00564E49" w:rsidRPr="00564E49" w:rsidRDefault="00564E49" w:rsidP="00564E49">
      <w:pPr>
        <w:spacing w:after="0" w:line="216" w:lineRule="auto"/>
        <w:ind w:left="552" w:right="595" w:hanging="5"/>
        <w:jc w:val="both"/>
        <w:rPr>
          <w:rFonts w:ascii="Verdana" w:hAnsi="Verdana"/>
          <w:sz w:val="24"/>
          <w:szCs w:val="24"/>
        </w:rPr>
      </w:pPr>
    </w:p>
    <w:p w14:paraId="38259910" w14:textId="77777777" w:rsidR="00184445" w:rsidRPr="00564E49" w:rsidRDefault="009E5218">
      <w:pPr>
        <w:spacing w:after="280" w:line="216" w:lineRule="auto"/>
        <w:ind w:left="14" w:right="23" w:firstLine="14"/>
        <w:jc w:val="both"/>
        <w:rPr>
          <w:rFonts w:ascii="Verdana" w:hAnsi="Verdana"/>
          <w:sz w:val="24"/>
          <w:szCs w:val="24"/>
        </w:rPr>
      </w:pPr>
      <w:r w:rsidRPr="00564E49">
        <w:rPr>
          <w:rFonts w:ascii="Verdana" w:hAnsi="Verdana"/>
          <w:sz w:val="24"/>
          <w:szCs w:val="24"/>
        </w:rPr>
        <w:t>De conformidad con lo dispuesto en el artículo 22, de la Ley Reguladora del Servicio Público de Transporte Remunerado de Personas en Vehículos en la Modalidad de Taxi, No. 7969, del 22 de diciembre de 1999 y el Dictamen de la Procuraduría General de la República No C-037-2000 del 25 de febrero del 2000, el Tribunal Administrativo de Transporte es competente para conocer y resolver los recursos de apelación venidos en alzada en contra de los actos o resoluciones emanadas del Consejo de Transporte Público. Esta normativa especializada, debe integrarse para su correcta dimensión, con el artículo 181 de la Ley General de la Administración Pública, señala textualmente lo siguiente:</w:t>
      </w:r>
    </w:p>
    <w:p w14:paraId="156DC392" w14:textId="167B87EA" w:rsidR="00184445" w:rsidRPr="00564E49" w:rsidRDefault="009E5218">
      <w:pPr>
        <w:spacing w:after="256" w:line="216" w:lineRule="auto"/>
        <w:ind w:left="634" w:right="663" w:firstLine="14"/>
        <w:jc w:val="both"/>
        <w:rPr>
          <w:rFonts w:ascii="Verdana" w:hAnsi="Verdana"/>
          <w:sz w:val="24"/>
          <w:szCs w:val="24"/>
        </w:rPr>
      </w:pPr>
      <w:r w:rsidRPr="00564E49">
        <w:rPr>
          <w:rFonts w:ascii="Verdana" w:hAnsi="Verdana"/>
          <w:sz w:val="24"/>
          <w:szCs w:val="24"/>
        </w:rPr>
        <w:t xml:space="preserve">"Artículo 181.- El Contralor no jerárquico podrá revisar sólo la legalidad del acto y en virtud de recurso administrativo, y decidirá dentro </w:t>
      </w:r>
      <w:r w:rsidR="00564E49" w:rsidRPr="00564E49">
        <w:rPr>
          <w:rFonts w:ascii="Verdana" w:hAnsi="Verdana"/>
          <w:sz w:val="24"/>
          <w:szCs w:val="24"/>
        </w:rPr>
        <w:t>del</w:t>
      </w:r>
      <w:r w:rsidRPr="00564E49">
        <w:rPr>
          <w:rFonts w:ascii="Verdana" w:hAnsi="Verdana"/>
          <w:sz w:val="24"/>
          <w:szCs w:val="24"/>
        </w:rPr>
        <w:t xml:space="preserve"> límite de las pretensiones y cuestiones de hecho planteadas por el recurrente, pero podrá aplicar una norma no invocada en el recurso."</w:t>
      </w:r>
    </w:p>
    <w:p w14:paraId="2EF479D4" w14:textId="2867151F" w:rsidR="00184445" w:rsidRPr="00564E49" w:rsidRDefault="009E5218">
      <w:pPr>
        <w:spacing w:after="256" w:line="216" w:lineRule="auto"/>
        <w:ind w:left="14" w:right="23" w:firstLine="14"/>
        <w:jc w:val="both"/>
        <w:rPr>
          <w:rFonts w:ascii="Verdana" w:hAnsi="Verdana"/>
          <w:sz w:val="24"/>
          <w:szCs w:val="24"/>
        </w:rPr>
      </w:pPr>
      <w:r w:rsidRPr="00564E49">
        <w:rPr>
          <w:rFonts w:ascii="Verdana" w:hAnsi="Verdana"/>
          <w:sz w:val="24"/>
          <w:szCs w:val="24"/>
        </w:rPr>
        <w:t xml:space="preserve">En consecuencia, el conocimiento de la Denuncia por Desacato a una orden judicial emanada de la Sala Constitucional, interpuesta por </w:t>
      </w:r>
      <w:r w:rsidR="00564E49">
        <w:rPr>
          <w:rFonts w:ascii="Verdana" w:hAnsi="Verdana"/>
          <w:sz w:val="24"/>
          <w:szCs w:val="24"/>
        </w:rPr>
        <w:t>M.B.</w:t>
      </w:r>
      <w:r w:rsidRPr="00564E49">
        <w:rPr>
          <w:rFonts w:ascii="Verdana" w:hAnsi="Verdana"/>
          <w:sz w:val="24"/>
          <w:szCs w:val="24"/>
        </w:rPr>
        <w:t>, para que la conozca este Tribunal no resulta procedente por cuanto ello es materia reservada al ámbito penal, de conformidad con lo dispuesto en el artículo 71 de la Ley de la Jurisdicción Constitucional, el cual indica lo siguiente:</w:t>
      </w:r>
    </w:p>
    <w:p w14:paraId="73F27FEC" w14:textId="77777777" w:rsidR="00184445" w:rsidRPr="00564E49" w:rsidRDefault="009E5218">
      <w:pPr>
        <w:spacing w:after="256" w:line="216" w:lineRule="auto"/>
        <w:ind w:left="567" w:right="610" w:firstLine="14"/>
        <w:jc w:val="both"/>
        <w:rPr>
          <w:rFonts w:ascii="Verdana" w:hAnsi="Verdana"/>
          <w:sz w:val="24"/>
          <w:szCs w:val="24"/>
        </w:rPr>
      </w:pPr>
      <w:r w:rsidRPr="00564E49">
        <w:rPr>
          <w:rFonts w:ascii="Verdana" w:hAnsi="Verdana"/>
          <w:sz w:val="24"/>
          <w:szCs w:val="24"/>
        </w:rPr>
        <w:lastRenderedPageBreak/>
        <w:t>"ARTICULO 71, Se impondrá prisión de tres meses a dos años, o de veinte a sesenta días multa, a quien recibiere una orden que deba cumplir o hacer cumplir, dictada en un recurso de amparo o de hábeas corpus, y no la cumpliere o no la hiciere cumplir, siempre que el delito no esté más gravemente penado." (Lo resaltado no es del original)</w:t>
      </w:r>
    </w:p>
    <w:p w14:paraId="39226CA2" w14:textId="6C34FA5E" w:rsidR="00184445" w:rsidRPr="00564E49" w:rsidRDefault="009E5218">
      <w:pPr>
        <w:spacing w:after="296" w:line="216" w:lineRule="auto"/>
        <w:ind w:left="14" w:right="23" w:firstLine="14"/>
        <w:jc w:val="both"/>
        <w:rPr>
          <w:rFonts w:ascii="Verdana" w:hAnsi="Verdana"/>
          <w:sz w:val="24"/>
          <w:szCs w:val="24"/>
        </w:rPr>
      </w:pPr>
      <w:r w:rsidRPr="00564E49">
        <w:rPr>
          <w:rFonts w:ascii="Verdana" w:hAnsi="Verdana"/>
          <w:sz w:val="24"/>
          <w:szCs w:val="24"/>
        </w:rPr>
        <w:t xml:space="preserve">Conforme lo establecido, se debe rechazar por improcedente la denuncia presentada ante este órgano, por el señor </w:t>
      </w:r>
      <w:r w:rsidR="00564E49" w:rsidRPr="00564E49">
        <w:rPr>
          <w:rFonts w:ascii="Verdana" w:hAnsi="Verdana"/>
          <w:sz w:val="24"/>
          <w:szCs w:val="24"/>
        </w:rPr>
        <w:t>R.M.B.</w:t>
      </w:r>
      <w:r w:rsidRPr="00564E49">
        <w:rPr>
          <w:rFonts w:ascii="Verdana" w:hAnsi="Verdana"/>
          <w:sz w:val="24"/>
          <w:szCs w:val="24"/>
        </w:rPr>
        <w:t>, en contra de la supuesta desobediencia en que ha incurrido el Consejo de Transporte Público, de la sentencia de la Sala Constitucional, Voto 2003-00860 de las ocho horas treinta y tres minutos del siete de febrero del dos mil tres.</w:t>
      </w:r>
    </w:p>
    <w:p w14:paraId="78AE4BE7" w14:textId="77777777" w:rsidR="00184445" w:rsidRPr="00564E49" w:rsidRDefault="009E5218">
      <w:pPr>
        <w:spacing w:after="144"/>
        <w:ind w:left="48"/>
        <w:jc w:val="center"/>
        <w:rPr>
          <w:rFonts w:ascii="Verdana" w:hAnsi="Verdana"/>
          <w:b/>
          <w:bCs/>
          <w:sz w:val="24"/>
          <w:szCs w:val="24"/>
        </w:rPr>
      </w:pPr>
      <w:r w:rsidRPr="00564E49">
        <w:rPr>
          <w:rFonts w:ascii="Verdana" w:hAnsi="Verdana"/>
          <w:b/>
          <w:bCs/>
          <w:sz w:val="24"/>
          <w:szCs w:val="24"/>
        </w:rPr>
        <w:t>POR TANTO:</w:t>
      </w:r>
    </w:p>
    <w:p w14:paraId="73B5D2EB" w14:textId="7D7BA2FE" w:rsidR="00184445" w:rsidRDefault="009E5218" w:rsidP="00564E49">
      <w:pPr>
        <w:spacing w:after="113" w:line="216" w:lineRule="auto"/>
        <w:ind w:left="14" w:right="23" w:firstLine="14"/>
        <w:jc w:val="both"/>
        <w:rPr>
          <w:rFonts w:ascii="Verdana" w:hAnsi="Verdana"/>
          <w:sz w:val="24"/>
          <w:szCs w:val="24"/>
        </w:rPr>
      </w:pPr>
      <w:r w:rsidRPr="00564E49">
        <w:rPr>
          <w:rFonts w:ascii="Verdana" w:hAnsi="Verdana"/>
          <w:sz w:val="24"/>
          <w:szCs w:val="24"/>
        </w:rPr>
        <w:t xml:space="preserve">I.- Se rechaza por improcedente la denuncia presentada por el señor </w:t>
      </w:r>
      <w:r w:rsidR="00564E49" w:rsidRPr="00564E49">
        <w:rPr>
          <w:rFonts w:ascii="Verdana" w:hAnsi="Verdana"/>
          <w:sz w:val="24"/>
          <w:szCs w:val="24"/>
        </w:rPr>
        <w:t>R.M.B.</w:t>
      </w:r>
      <w:r w:rsidRPr="00564E49">
        <w:rPr>
          <w:rFonts w:ascii="Verdana" w:hAnsi="Verdana"/>
          <w:sz w:val="24"/>
          <w:szCs w:val="24"/>
        </w:rPr>
        <w:t xml:space="preserve">, cédula de identidad número </w:t>
      </w:r>
      <w:r w:rsidR="00564E49" w:rsidRPr="00564E49">
        <w:rPr>
          <w:rFonts w:ascii="Verdana" w:hAnsi="Verdana"/>
          <w:sz w:val="24"/>
          <w:szCs w:val="24"/>
        </w:rPr>
        <w:t>XXX</w:t>
      </w:r>
      <w:r w:rsidRPr="00564E49">
        <w:rPr>
          <w:rFonts w:ascii="Verdana" w:hAnsi="Verdana"/>
          <w:sz w:val="24"/>
          <w:szCs w:val="24"/>
        </w:rPr>
        <w:t xml:space="preserve">, en contra del Consejo de Transporte Público, por desobediencia a la sentencia de la Sala Constitucional, Voto 2003-00860 de las ocho horas treinta y tres minutos del siete de febrero del dos mil tres. </w:t>
      </w:r>
      <w:proofErr w:type="gramStart"/>
      <w:r w:rsidRPr="00564E49">
        <w:rPr>
          <w:rFonts w:ascii="Verdana" w:hAnsi="Verdana"/>
          <w:sz w:val="24"/>
          <w:szCs w:val="24"/>
        </w:rPr>
        <w:t>NOTIFÍQUESE.-</w:t>
      </w:r>
      <w:proofErr w:type="gramEnd"/>
    </w:p>
    <w:p w14:paraId="0B28E78F" w14:textId="7F16E812" w:rsidR="00564E49" w:rsidRDefault="00564E49" w:rsidP="00564E49">
      <w:pPr>
        <w:spacing w:after="113" w:line="216" w:lineRule="auto"/>
        <w:ind w:left="14" w:right="23" w:firstLine="14"/>
        <w:jc w:val="both"/>
        <w:rPr>
          <w:rFonts w:ascii="Verdana" w:hAnsi="Verdana"/>
          <w:sz w:val="24"/>
          <w:szCs w:val="24"/>
        </w:rPr>
      </w:pPr>
    </w:p>
    <w:p w14:paraId="2CD202E9" w14:textId="0FC66E9A" w:rsidR="00564E49" w:rsidRDefault="00564E49" w:rsidP="00564E49">
      <w:pPr>
        <w:spacing w:after="113" w:line="216" w:lineRule="auto"/>
        <w:ind w:left="14" w:right="23" w:firstLine="14"/>
        <w:jc w:val="both"/>
        <w:rPr>
          <w:rFonts w:ascii="Verdana" w:hAnsi="Verdana"/>
          <w:sz w:val="24"/>
          <w:szCs w:val="24"/>
        </w:rPr>
      </w:pPr>
    </w:p>
    <w:p w14:paraId="3C43B76A" w14:textId="77777777" w:rsidR="00564E49" w:rsidRPr="00564E49" w:rsidRDefault="00564E49" w:rsidP="00564E49">
      <w:pPr>
        <w:pStyle w:val="Ttulo5"/>
        <w:jc w:val="center"/>
        <w:rPr>
          <w:rFonts w:ascii="Verdana" w:hAnsi="Verdana"/>
          <w:b/>
          <w:i/>
          <w:color w:val="auto"/>
          <w:sz w:val="24"/>
          <w:szCs w:val="24"/>
        </w:rPr>
      </w:pPr>
      <w:bookmarkStart w:id="1" w:name="_Hlk42072670"/>
      <w:r w:rsidRPr="00564E49">
        <w:rPr>
          <w:rFonts w:ascii="Verdana" w:hAnsi="Verdana"/>
          <w:color w:val="auto"/>
          <w:sz w:val="24"/>
          <w:szCs w:val="24"/>
        </w:rPr>
        <w:t xml:space="preserve">Lic. Carlos Miguel </w:t>
      </w:r>
      <w:proofErr w:type="spellStart"/>
      <w:r w:rsidRPr="00564E49">
        <w:rPr>
          <w:rFonts w:ascii="Verdana" w:hAnsi="Verdana"/>
          <w:color w:val="auto"/>
          <w:sz w:val="24"/>
          <w:szCs w:val="24"/>
        </w:rPr>
        <w:t>Portuguez</w:t>
      </w:r>
      <w:proofErr w:type="spellEnd"/>
      <w:r w:rsidRPr="00564E49">
        <w:rPr>
          <w:rFonts w:ascii="Verdana" w:hAnsi="Verdana"/>
          <w:color w:val="auto"/>
          <w:sz w:val="24"/>
          <w:szCs w:val="24"/>
        </w:rPr>
        <w:t xml:space="preserve"> Méndez</w:t>
      </w:r>
    </w:p>
    <w:p w14:paraId="0CE0290A" w14:textId="77777777" w:rsidR="00564E49" w:rsidRPr="00564E49" w:rsidRDefault="00564E49" w:rsidP="00564E49">
      <w:pPr>
        <w:pStyle w:val="Ttulo5"/>
        <w:jc w:val="center"/>
        <w:rPr>
          <w:rFonts w:ascii="Verdana" w:hAnsi="Verdana"/>
          <w:b/>
          <w:i/>
          <w:color w:val="auto"/>
          <w:sz w:val="24"/>
          <w:szCs w:val="24"/>
        </w:rPr>
      </w:pPr>
      <w:r w:rsidRPr="00564E49">
        <w:rPr>
          <w:rFonts w:ascii="Verdana" w:hAnsi="Verdana"/>
          <w:color w:val="auto"/>
          <w:sz w:val="24"/>
          <w:szCs w:val="24"/>
        </w:rPr>
        <w:t>Presidente</w:t>
      </w:r>
    </w:p>
    <w:p w14:paraId="0E931BB5" w14:textId="77777777" w:rsidR="00564E49" w:rsidRPr="00564E49" w:rsidRDefault="00564E49" w:rsidP="00564E49">
      <w:pPr>
        <w:rPr>
          <w:color w:val="auto"/>
        </w:rPr>
      </w:pPr>
    </w:p>
    <w:p w14:paraId="3C9AB5A3" w14:textId="77777777" w:rsidR="00564E49" w:rsidRPr="00564E49" w:rsidRDefault="00564E49" w:rsidP="00564E49">
      <w:pPr>
        <w:rPr>
          <w:color w:val="auto"/>
        </w:rPr>
      </w:pPr>
    </w:p>
    <w:p w14:paraId="1637019D" w14:textId="77777777" w:rsidR="00564E49" w:rsidRPr="00564E49" w:rsidRDefault="00564E49" w:rsidP="00564E49">
      <w:pPr>
        <w:pStyle w:val="Ttulo5"/>
        <w:jc w:val="center"/>
        <w:rPr>
          <w:rFonts w:ascii="Verdana" w:hAnsi="Verdana"/>
          <w:b/>
          <w:i/>
          <w:color w:val="auto"/>
          <w:sz w:val="24"/>
          <w:szCs w:val="24"/>
        </w:rPr>
      </w:pPr>
      <w:r w:rsidRPr="00564E49">
        <w:rPr>
          <w:rFonts w:ascii="Verdana" w:hAnsi="Verdana"/>
          <w:color w:val="auto"/>
          <w:sz w:val="24"/>
          <w:szCs w:val="24"/>
        </w:rPr>
        <w:t xml:space="preserve">Lic. Luis Gerardo Fallas Acosta           Licda. Marta Luz Pérez Peláez                               </w:t>
      </w:r>
    </w:p>
    <w:p w14:paraId="57459DE1" w14:textId="77777777" w:rsidR="00564E49" w:rsidRPr="00564E49" w:rsidRDefault="00564E49" w:rsidP="00564E49">
      <w:pPr>
        <w:rPr>
          <w:rFonts w:ascii="Verdana" w:hAnsi="Verdana"/>
          <w:color w:val="auto"/>
          <w:sz w:val="24"/>
          <w:szCs w:val="24"/>
        </w:rPr>
      </w:pPr>
      <w:r w:rsidRPr="00564E49">
        <w:rPr>
          <w:rFonts w:ascii="Verdana" w:hAnsi="Verdana"/>
          <w:color w:val="auto"/>
          <w:sz w:val="24"/>
          <w:szCs w:val="24"/>
        </w:rPr>
        <w:tab/>
        <w:t xml:space="preserve">           Juez</w:t>
      </w:r>
      <w:r w:rsidRPr="00564E49">
        <w:rPr>
          <w:rFonts w:ascii="Verdana" w:hAnsi="Verdana"/>
          <w:color w:val="auto"/>
          <w:sz w:val="24"/>
          <w:szCs w:val="24"/>
        </w:rPr>
        <w:tab/>
      </w:r>
      <w:r w:rsidRPr="00564E49">
        <w:rPr>
          <w:rFonts w:ascii="Verdana" w:hAnsi="Verdana"/>
          <w:color w:val="auto"/>
          <w:sz w:val="24"/>
          <w:szCs w:val="24"/>
        </w:rPr>
        <w:tab/>
      </w:r>
      <w:r w:rsidRPr="00564E49">
        <w:rPr>
          <w:rFonts w:ascii="Verdana" w:hAnsi="Verdana"/>
          <w:color w:val="auto"/>
          <w:sz w:val="24"/>
          <w:szCs w:val="24"/>
        </w:rPr>
        <w:tab/>
      </w:r>
      <w:r w:rsidRPr="00564E49">
        <w:rPr>
          <w:rFonts w:ascii="Verdana" w:hAnsi="Verdana"/>
          <w:color w:val="auto"/>
          <w:sz w:val="24"/>
          <w:szCs w:val="24"/>
        </w:rPr>
        <w:tab/>
        <w:t xml:space="preserve">                  </w:t>
      </w:r>
      <w:proofErr w:type="spellStart"/>
      <w:r w:rsidRPr="00564E49">
        <w:rPr>
          <w:rFonts w:ascii="Verdana" w:hAnsi="Verdana"/>
          <w:color w:val="auto"/>
          <w:sz w:val="24"/>
          <w:szCs w:val="24"/>
        </w:rPr>
        <w:t>Juez</w:t>
      </w:r>
      <w:proofErr w:type="spellEnd"/>
    </w:p>
    <w:bookmarkEnd w:id="1"/>
    <w:p w14:paraId="24C6A345" w14:textId="77777777" w:rsidR="00564E49" w:rsidRDefault="00564E49" w:rsidP="00564E49">
      <w:pPr>
        <w:rPr>
          <w:rFonts w:ascii="Verdana" w:hAnsi="Verdana"/>
          <w:sz w:val="24"/>
          <w:szCs w:val="24"/>
        </w:rPr>
      </w:pPr>
    </w:p>
    <w:p w14:paraId="4A8DC823" w14:textId="77777777" w:rsidR="00564E49" w:rsidRPr="00564E49" w:rsidRDefault="00564E49" w:rsidP="00564E49">
      <w:pPr>
        <w:spacing w:after="113" w:line="216" w:lineRule="auto"/>
        <w:ind w:left="14" w:right="23" w:firstLine="14"/>
        <w:jc w:val="both"/>
        <w:rPr>
          <w:rFonts w:ascii="Verdana" w:hAnsi="Verdana"/>
          <w:sz w:val="24"/>
          <w:szCs w:val="24"/>
        </w:rPr>
      </w:pPr>
    </w:p>
    <w:sectPr w:rsidR="00564E49" w:rsidRPr="00564E49">
      <w:footerReference w:type="even" r:id="rId8"/>
      <w:footerReference w:type="default" r:id="rId9"/>
      <w:footerReference w:type="first" r:id="rId10"/>
      <w:pgSz w:w="12134" w:h="15840"/>
      <w:pgMar w:top="1116" w:right="1522" w:bottom="1774" w:left="153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5D923F" w14:textId="77777777" w:rsidR="007F04C5" w:rsidRDefault="007F04C5">
      <w:pPr>
        <w:spacing w:after="0" w:line="240" w:lineRule="auto"/>
      </w:pPr>
      <w:r>
        <w:separator/>
      </w:r>
    </w:p>
  </w:endnote>
  <w:endnote w:type="continuationSeparator" w:id="0">
    <w:p w14:paraId="4EB7035B" w14:textId="77777777" w:rsidR="007F04C5" w:rsidRDefault="007F0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4B114" w14:textId="77777777" w:rsidR="00184445" w:rsidRDefault="0018444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5B90B" w14:textId="77777777" w:rsidR="00184445" w:rsidRDefault="00184445"/>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84136" w14:textId="77777777" w:rsidR="00184445" w:rsidRDefault="0018444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F48132" w14:textId="77777777" w:rsidR="007F04C5" w:rsidRDefault="007F04C5">
      <w:pPr>
        <w:spacing w:after="0" w:line="240" w:lineRule="auto"/>
      </w:pPr>
      <w:r>
        <w:separator/>
      </w:r>
    </w:p>
  </w:footnote>
  <w:footnote w:type="continuationSeparator" w:id="0">
    <w:p w14:paraId="395E7411" w14:textId="77777777" w:rsidR="007F04C5" w:rsidRDefault="007F04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445"/>
    <w:rsid w:val="00184445"/>
    <w:rsid w:val="00564E49"/>
    <w:rsid w:val="007F04C5"/>
    <w:rsid w:val="009E5218"/>
    <w:rsid w:val="00DF68E3"/>
    <w:rsid w:val="00EB47E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29426"/>
  <w15:docId w15:val="{E09B21EB-8741-47E0-BC32-3E6012F48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Ttulo1">
    <w:name w:val="heading 1"/>
    <w:next w:val="Normal"/>
    <w:link w:val="Ttulo1Car"/>
    <w:uiPriority w:val="9"/>
    <w:qFormat/>
    <w:pPr>
      <w:keepNext/>
      <w:keepLines/>
      <w:spacing w:after="208"/>
      <w:ind w:left="293"/>
      <w:jc w:val="center"/>
      <w:outlineLvl w:val="0"/>
    </w:pPr>
    <w:rPr>
      <w:rFonts w:ascii="Courier New" w:eastAsia="Courier New" w:hAnsi="Courier New" w:cs="Courier New"/>
      <w:color w:val="000000"/>
      <w:sz w:val="32"/>
    </w:rPr>
  </w:style>
  <w:style w:type="paragraph" w:styleId="Ttulo2">
    <w:name w:val="heading 2"/>
    <w:next w:val="Normal"/>
    <w:link w:val="Ttulo2Car"/>
    <w:uiPriority w:val="9"/>
    <w:unhideWhenUsed/>
    <w:qFormat/>
    <w:pPr>
      <w:keepNext/>
      <w:keepLines/>
      <w:spacing w:after="322"/>
      <w:ind w:left="173"/>
      <w:jc w:val="center"/>
      <w:outlineLvl w:val="1"/>
    </w:pPr>
    <w:rPr>
      <w:rFonts w:ascii="Times New Roman" w:eastAsia="Times New Roman" w:hAnsi="Times New Roman" w:cs="Times New Roman"/>
      <w:color w:val="000000"/>
      <w:sz w:val="26"/>
    </w:rPr>
  </w:style>
  <w:style w:type="paragraph" w:styleId="Ttulo3">
    <w:name w:val="heading 3"/>
    <w:next w:val="Normal"/>
    <w:link w:val="Ttulo3Car"/>
    <w:uiPriority w:val="9"/>
    <w:unhideWhenUsed/>
    <w:qFormat/>
    <w:pPr>
      <w:keepNext/>
      <w:keepLines/>
      <w:spacing w:after="516"/>
      <w:ind w:left="106"/>
      <w:jc w:val="center"/>
      <w:outlineLvl w:val="2"/>
    </w:pPr>
    <w:rPr>
      <w:rFonts w:ascii="Times New Roman" w:eastAsia="Times New Roman" w:hAnsi="Times New Roman" w:cs="Times New Roman"/>
      <w:color w:val="000000"/>
      <w:sz w:val="24"/>
      <w:u w:val="single" w:color="000000"/>
    </w:rPr>
  </w:style>
  <w:style w:type="paragraph" w:styleId="Ttulo5">
    <w:name w:val="heading 5"/>
    <w:basedOn w:val="Normal"/>
    <w:next w:val="Normal"/>
    <w:link w:val="Ttulo5Car"/>
    <w:uiPriority w:val="9"/>
    <w:semiHidden/>
    <w:unhideWhenUsed/>
    <w:qFormat/>
    <w:rsid w:val="00564E4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Pr>
      <w:rFonts w:ascii="Times New Roman" w:eastAsia="Times New Roman" w:hAnsi="Times New Roman" w:cs="Times New Roman"/>
      <w:color w:val="000000"/>
      <w:sz w:val="24"/>
      <w:u w:val="single" w:color="000000"/>
    </w:rPr>
  </w:style>
  <w:style w:type="character" w:customStyle="1" w:styleId="Ttulo2Car">
    <w:name w:val="Título 2 Car"/>
    <w:link w:val="Ttulo2"/>
    <w:rPr>
      <w:rFonts w:ascii="Times New Roman" w:eastAsia="Times New Roman" w:hAnsi="Times New Roman" w:cs="Times New Roman"/>
      <w:color w:val="000000"/>
      <w:sz w:val="26"/>
    </w:rPr>
  </w:style>
  <w:style w:type="character" w:customStyle="1" w:styleId="Ttulo1Car">
    <w:name w:val="Título 1 Car"/>
    <w:link w:val="Ttulo1"/>
    <w:rPr>
      <w:rFonts w:ascii="Courier New" w:eastAsia="Courier New" w:hAnsi="Courier New" w:cs="Courier New"/>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unhideWhenUsed/>
    <w:rsid w:val="00564E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4E49"/>
    <w:rPr>
      <w:rFonts w:ascii="Calibri" w:eastAsia="Calibri" w:hAnsi="Calibri" w:cs="Calibri"/>
      <w:color w:val="000000"/>
    </w:rPr>
  </w:style>
  <w:style w:type="paragraph" w:styleId="Piedepgina">
    <w:name w:val="footer"/>
    <w:basedOn w:val="Normal"/>
    <w:link w:val="PiedepginaCar"/>
    <w:uiPriority w:val="99"/>
    <w:semiHidden/>
    <w:unhideWhenUsed/>
    <w:rsid w:val="00564E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564E49"/>
    <w:rPr>
      <w:rFonts w:ascii="Calibri" w:eastAsia="Calibri" w:hAnsi="Calibri" w:cs="Calibri"/>
      <w:color w:val="000000"/>
    </w:rPr>
  </w:style>
  <w:style w:type="character" w:customStyle="1" w:styleId="Ttulo5Car">
    <w:name w:val="Título 5 Car"/>
    <w:basedOn w:val="Fuentedeprrafopredeter"/>
    <w:link w:val="Ttulo5"/>
    <w:uiPriority w:val="9"/>
    <w:semiHidden/>
    <w:rsid w:val="00564E49"/>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995</Words>
  <Characters>5474</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Argüello</dc:creator>
  <cp:keywords/>
  <cp:lastModifiedBy>Marcela Mora Zúñiga</cp:lastModifiedBy>
  <cp:revision>2</cp:revision>
  <dcterms:created xsi:type="dcterms:W3CDTF">2020-06-08T15:04:00Z</dcterms:created>
  <dcterms:modified xsi:type="dcterms:W3CDTF">2020-06-08T15:04:00Z</dcterms:modified>
</cp:coreProperties>
</file>